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中共开封市龙亭区</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政务服务和大数据管理局党组关于</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b w:val="0"/>
          <w:bCs w:val="0"/>
          <w:color w:val="auto"/>
          <w:spacing w:val="-6"/>
          <w:sz w:val="44"/>
          <w:szCs w:val="44"/>
          <w:highlight w:val="none"/>
        </w:rPr>
      </w:pPr>
      <w:r>
        <w:rPr>
          <w:rFonts w:hint="default" w:ascii="Times New Roman" w:hAnsi="Times New Roman" w:eastAsia="方正小标宋简体" w:cs="Times New Roman"/>
          <w:b w:val="0"/>
          <w:bCs w:val="0"/>
          <w:color w:val="auto"/>
          <w:spacing w:val="-6"/>
          <w:sz w:val="44"/>
          <w:szCs w:val="44"/>
          <w:highlight w:val="none"/>
        </w:rPr>
        <w:t>区委</w:t>
      </w:r>
      <w:r>
        <w:rPr>
          <w:rFonts w:hint="eastAsia" w:ascii="Times New Roman" w:hAnsi="Times New Roman" w:eastAsia="方正小标宋简体" w:cs="Times New Roman"/>
          <w:b w:val="0"/>
          <w:bCs w:val="0"/>
          <w:color w:val="auto"/>
          <w:spacing w:val="-6"/>
          <w:sz w:val="44"/>
          <w:szCs w:val="44"/>
          <w:highlight w:val="none"/>
          <w:lang w:val="en-US" w:eastAsia="zh-Hans"/>
        </w:rPr>
        <w:t>优化营商环境</w:t>
      </w:r>
      <w:r>
        <w:rPr>
          <w:rFonts w:hint="eastAsia" w:ascii="Times New Roman" w:hAnsi="Times New Roman" w:eastAsia="方正小标宋简体" w:cs="Times New Roman"/>
          <w:b w:val="0"/>
          <w:bCs w:val="0"/>
          <w:color w:val="auto"/>
          <w:spacing w:val="-6"/>
          <w:sz w:val="44"/>
          <w:szCs w:val="44"/>
          <w:highlight w:val="none"/>
          <w:lang w:val="en-US" w:eastAsia="zh-CN"/>
        </w:rPr>
        <w:t>专项</w:t>
      </w:r>
      <w:r>
        <w:rPr>
          <w:rFonts w:hint="default" w:ascii="Times New Roman" w:hAnsi="Times New Roman" w:eastAsia="方正小标宋简体" w:cs="Times New Roman"/>
          <w:b w:val="0"/>
          <w:bCs w:val="0"/>
          <w:color w:val="auto"/>
          <w:spacing w:val="-6"/>
          <w:sz w:val="44"/>
          <w:szCs w:val="44"/>
          <w:highlight w:val="none"/>
        </w:rPr>
        <w:t>巡察</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仿宋" w:hAnsi="仿宋" w:eastAsia="仿宋" w:cs="仿宋"/>
          <w:b w:val="0"/>
          <w:bCs w:val="0"/>
          <w:sz w:val="32"/>
          <w:szCs w:val="32"/>
        </w:rPr>
      </w:pPr>
      <w:r>
        <w:rPr>
          <w:rFonts w:hint="eastAsia" w:ascii="方正小标宋简体" w:hAnsi="方正小标宋简体" w:eastAsia="方正小标宋简体" w:cs="方正小标宋简体"/>
          <w:b w:val="0"/>
          <w:bCs w:val="0"/>
          <w:sz w:val="44"/>
          <w:szCs w:val="44"/>
        </w:rPr>
        <w:t>整改情况的通报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 w:hAnsi="仿宋" w:eastAsia="仿宋" w:cs="仿宋"/>
          <w:b w:val="0"/>
          <w:bCs w:val="0"/>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 w:hAnsi="仿宋" w:eastAsia="仿宋" w:cs="仿宋"/>
          <w:b w:val="0"/>
          <w:bCs w:val="0"/>
          <w:sz w:val="32"/>
          <w:szCs w:val="32"/>
          <w:lang w:eastAsia="zh-CN"/>
        </w:rPr>
      </w:pPr>
      <w:r>
        <w:rPr>
          <w:rFonts w:hint="eastAsia" w:ascii="仿宋_GB2312" w:hAnsi="仿宋_GB2312" w:eastAsia="仿宋_GB2312" w:cs="仿宋_GB2312"/>
          <w:b w:val="0"/>
          <w:bCs w:val="0"/>
          <w:sz w:val="32"/>
          <w:szCs w:val="32"/>
        </w:rPr>
        <w:t>202</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年10至12月，区委第二巡察组对我</w:t>
      </w:r>
      <w:r>
        <w:rPr>
          <w:rFonts w:hint="eastAsia" w:ascii="仿宋_GB2312" w:hAnsi="仿宋_GB2312" w:eastAsia="仿宋_GB2312" w:cs="仿宋_GB2312"/>
          <w:b w:val="0"/>
          <w:bCs w:val="0"/>
          <w:sz w:val="32"/>
          <w:szCs w:val="32"/>
          <w:lang w:eastAsia="zh-CN"/>
        </w:rPr>
        <w:t>单位</w:t>
      </w:r>
      <w:r>
        <w:rPr>
          <w:rFonts w:hint="eastAsia" w:ascii="仿宋_GB2312" w:hAnsi="仿宋_GB2312" w:eastAsia="仿宋_GB2312" w:cs="仿宋_GB2312"/>
          <w:b w:val="0"/>
          <w:bCs w:val="0"/>
          <w:sz w:val="32"/>
          <w:szCs w:val="32"/>
        </w:rPr>
        <w:t>开展了</w:t>
      </w:r>
      <w:bookmarkStart w:id="0" w:name="_GoBack"/>
      <w:bookmarkEnd w:id="0"/>
      <w:r>
        <w:rPr>
          <w:rFonts w:hint="eastAsia" w:ascii="仿宋_GB2312" w:hAnsi="仿宋_GB2312" w:eastAsia="仿宋_GB2312" w:cs="仿宋_GB2312"/>
          <w:b w:val="0"/>
          <w:bCs w:val="0"/>
          <w:sz w:val="32"/>
          <w:szCs w:val="32"/>
        </w:rPr>
        <w:t>巡察。202</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年</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月</w:t>
      </w:r>
      <w:r>
        <w:rPr>
          <w:rFonts w:hint="eastAsia" w:ascii="仿宋_GB2312" w:hAnsi="仿宋_GB2312" w:eastAsia="仿宋_GB2312" w:cs="仿宋_GB2312"/>
          <w:b w:val="0"/>
          <w:bCs w:val="0"/>
          <w:sz w:val="32"/>
          <w:szCs w:val="32"/>
          <w:lang w:val="en-US" w:eastAsia="zh-CN"/>
        </w:rPr>
        <w:t>8</w:t>
      </w:r>
      <w:r>
        <w:rPr>
          <w:rFonts w:hint="eastAsia" w:ascii="仿宋_GB2312" w:hAnsi="仿宋_GB2312" w:eastAsia="仿宋_GB2312" w:cs="仿宋_GB2312"/>
          <w:b w:val="0"/>
          <w:bCs w:val="0"/>
          <w:sz w:val="32"/>
          <w:szCs w:val="32"/>
        </w:rPr>
        <w:t>日，区委第二巡察组向我</w:t>
      </w:r>
      <w:r>
        <w:rPr>
          <w:rFonts w:hint="eastAsia" w:ascii="仿宋_GB2312" w:hAnsi="仿宋_GB2312" w:eastAsia="仿宋_GB2312" w:cs="仿宋_GB2312"/>
          <w:b w:val="0"/>
          <w:bCs w:val="0"/>
          <w:sz w:val="32"/>
          <w:szCs w:val="32"/>
          <w:lang w:eastAsia="zh-CN"/>
        </w:rPr>
        <w:t>单位</w:t>
      </w:r>
      <w:r>
        <w:rPr>
          <w:rFonts w:hint="eastAsia" w:ascii="仿宋_GB2312" w:hAnsi="仿宋_GB2312" w:eastAsia="仿宋_GB2312" w:cs="仿宋_GB2312"/>
          <w:b w:val="0"/>
          <w:bCs w:val="0"/>
          <w:sz w:val="32"/>
          <w:szCs w:val="32"/>
        </w:rPr>
        <w:t>进行了巡察情况反馈，按照《中国共产党巡视工作条例》有关规定，现将巡察整改情况予以公布</w:t>
      </w:r>
      <w:r>
        <w:rPr>
          <w:rFonts w:hint="eastAsia" w:ascii="仿宋_GB2312" w:hAnsi="仿宋_GB2312" w:eastAsia="仿宋_GB2312" w:cs="仿宋_GB2312"/>
          <w:b w:val="0"/>
          <w:bCs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一、查找政治偏差方面存在的问题及整改情况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Times New Roman" w:hAnsi="Times New Roman" w:eastAsia="楷体" w:cs="Times New Roman"/>
          <w:b w:val="0"/>
          <w:bCs w:val="0"/>
          <w:color w:val="auto"/>
          <w:sz w:val="32"/>
          <w:szCs w:val="32"/>
          <w:highlight w:val="none"/>
          <w:lang w:eastAsia="zh-CN"/>
        </w:rPr>
      </w:pPr>
      <w:r>
        <w:rPr>
          <w:rFonts w:hint="eastAsia" w:ascii="Times New Roman" w:hAnsi="Times New Roman" w:eastAsia="楷体" w:cs="Times New Roman"/>
          <w:b w:val="0"/>
          <w:bCs w:val="0"/>
          <w:color w:val="auto"/>
          <w:sz w:val="32"/>
          <w:szCs w:val="32"/>
          <w:highlight w:val="none"/>
          <w:lang w:eastAsia="zh-CN"/>
        </w:rPr>
        <w:t>（一）思想不够重视</w:t>
      </w:r>
    </w:p>
    <w:p>
      <w:pPr>
        <w:pStyle w:val="2"/>
        <w:keepNext w:val="0"/>
        <w:keepLines w:val="0"/>
        <w:pageBreakBefore w:val="0"/>
        <w:widowControl w:val="0"/>
        <w:numPr>
          <w:ilvl w:val="0"/>
          <w:numId w:val="0"/>
        </w:numPr>
        <w:kinsoku/>
        <w:wordWrap/>
        <w:overflowPunct/>
        <w:topLinePunct w:val="0"/>
        <w:autoSpaceDE/>
        <w:autoSpaceDN/>
        <w:bidi w:val="0"/>
        <w:snapToGrid/>
        <w:spacing w:after="0" w:afterLines="0" w:line="580" w:lineRule="exact"/>
        <w:ind w:left="0" w:lef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1.学习贯彻上级讲话精神及有关条例不深入。</w:t>
      </w:r>
    </w:p>
    <w:p>
      <w:pPr>
        <w:pStyle w:val="2"/>
        <w:keepNext w:val="0"/>
        <w:keepLines w:val="0"/>
        <w:pageBreakBefore w:val="0"/>
        <w:widowControl w:val="0"/>
        <w:numPr>
          <w:ilvl w:val="0"/>
          <w:numId w:val="0"/>
        </w:numPr>
        <w:kinsoku/>
        <w:wordWrap/>
        <w:overflowPunct/>
        <w:topLinePunct w:val="0"/>
        <w:autoSpaceDE/>
        <w:autoSpaceDN/>
        <w:bidi w:val="0"/>
        <w:snapToGrid/>
        <w:spacing w:after="0" w:afterLines="0" w:line="580" w:lineRule="exact"/>
        <w:ind w:left="0" w:leftChars="0" w:firstLine="640" w:firstLineChars="200"/>
        <w:textAlignment w:val="auto"/>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val="0"/>
          <w:bCs w:val="0"/>
          <w:color w:val="auto"/>
          <w:sz w:val="32"/>
          <w:szCs w:val="32"/>
          <w:lang w:eastAsia="zh-CN"/>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一是2023年2月28日</w:t>
      </w:r>
      <w:r>
        <w:rPr>
          <w:rFonts w:hint="eastAsia" w:ascii="仿宋_GB2312" w:hAnsi="仿宋_GB2312" w:eastAsia="仿宋_GB2312" w:cs="仿宋_GB2312"/>
          <w:b w:val="0"/>
          <w:bCs w:val="0"/>
          <w:color w:val="auto"/>
          <w:sz w:val="32"/>
          <w:szCs w:val="32"/>
          <w:lang w:eastAsia="zh-CN"/>
        </w:rPr>
        <w:t>我局全体党员</w:t>
      </w:r>
      <w:r>
        <w:rPr>
          <w:rFonts w:hint="eastAsia" w:ascii="仿宋_GB2312" w:hAnsi="仿宋_GB2312" w:eastAsia="仿宋_GB2312" w:cs="仿宋_GB2312"/>
          <w:b w:val="0"/>
          <w:bCs w:val="0"/>
          <w:color w:val="auto"/>
          <w:sz w:val="32"/>
          <w:szCs w:val="32"/>
          <w:lang w:val="en-US" w:eastAsia="zh-CN"/>
        </w:rPr>
        <w:t>召开“优化营商环境”党组月例会1次；2月8日和2月20日、3月24日我局服务中心召开全体专题会议共3次。</w:t>
      </w:r>
      <w:r>
        <w:rPr>
          <w:rFonts w:hint="eastAsia" w:ascii="仿宋_GB2312" w:hAnsi="仿宋_GB2312" w:eastAsia="仿宋_GB2312" w:cs="仿宋_GB2312"/>
          <w:b w:val="0"/>
          <w:bCs w:val="0"/>
          <w:color w:val="auto"/>
          <w:sz w:val="32"/>
          <w:szCs w:val="32"/>
        </w:rPr>
        <w:t>学习形式采取集体研讨、党员发言、自由交流等</w:t>
      </w:r>
      <w:r>
        <w:rPr>
          <w:rFonts w:hint="eastAsia" w:ascii="仿宋_GB2312" w:hAnsi="仿宋_GB2312" w:eastAsia="仿宋_GB2312" w:cs="仿宋_GB2312"/>
          <w:b w:val="0"/>
          <w:bCs w:val="0"/>
          <w:color w:val="auto"/>
          <w:sz w:val="32"/>
          <w:szCs w:val="32"/>
          <w:lang w:eastAsia="zh-CN"/>
        </w:rPr>
        <w:t>形式，</w:t>
      </w:r>
      <w:r>
        <w:rPr>
          <w:rFonts w:hint="eastAsia" w:ascii="仿宋_GB2312" w:hAnsi="仿宋_GB2312" w:eastAsia="仿宋_GB2312" w:cs="仿宋_GB2312"/>
          <w:b w:val="0"/>
          <w:bCs w:val="0"/>
          <w:color w:val="auto"/>
          <w:sz w:val="32"/>
          <w:szCs w:val="32"/>
        </w:rPr>
        <w:t>确保人员、时间、内容三到位，进一步提高党员干部的政治意识</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使全体干部增强了贯彻《条例》的责任感使命感。</w:t>
      </w:r>
      <w:r>
        <w:rPr>
          <w:rFonts w:hint="eastAsia" w:ascii="仿宋_GB2312" w:hAnsi="仿宋_GB2312" w:eastAsia="仿宋_GB2312" w:cs="仿宋_GB2312"/>
          <w:b w:val="0"/>
          <w:bCs w:val="0"/>
          <w:i w:val="0"/>
          <w:iCs w:val="0"/>
          <w:caps w:val="0"/>
          <w:color w:val="auto"/>
          <w:spacing w:val="0"/>
          <w:sz w:val="32"/>
          <w:szCs w:val="32"/>
          <w:shd w:val="clear" w:color="auto" w:fill="FFFFFF"/>
          <w:lang w:eastAsia="zh-CN"/>
        </w:rPr>
        <w:t>以《条例》为行动指导，举一反三，对标一流地区学习先进经验，将理论与实践相结合。二是</w:t>
      </w:r>
      <w:r>
        <w:rPr>
          <w:rFonts w:hint="eastAsia" w:ascii="仿宋_GB2312" w:hAnsi="仿宋_GB2312" w:eastAsia="仿宋_GB2312" w:cs="仿宋_GB2312"/>
          <w:b w:val="0"/>
          <w:bCs w:val="0"/>
          <w:color w:val="auto"/>
          <w:sz w:val="32"/>
          <w:szCs w:val="32"/>
          <w:lang w:eastAsia="zh-CN"/>
        </w:rPr>
        <w:t>我局于</w:t>
      </w:r>
      <w:r>
        <w:rPr>
          <w:rFonts w:hint="eastAsia" w:ascii="仿宋_GB2312" w:hAnsi="仿宋_GB2312" w:eastAsia="仿宋_GB2312" w:cs="仿宋_GB2312"/>
          <w:b w:val="0"/>
          <w:bCs w:val="0"/>
          <w:color w:val="auto"/>
          <w:sz w:val="32"/>
          <w:szCs w:val="32"/>
          <w:lang w:val="en-US" w:eastAsia="zh-CN"/>
        </w:rPr>
        <w:t>2月7日同区营商办、各指标牵头部门赴鹤壁市淇滨区行政服务中心进行参观学习，了解淇滨区营商环境先进案例，学习先进经验，参考其好差评、预约模式、公示材料、一网通办、优惠政策等优秀的做法来完善提高我局优化营商环境工作。</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val="en-US" w:eastAsia="zh-CN"/>
        </w:rPr>
        <w:t>2.</w:t>
      </w:r>
      <w:r>
        <w:rPr>
          <w:rFonts w:hint="eastAsia" w:ascii="仿宋_GB2312" w:hAnsi="仿宋_GB2312" w:eastAsia="仿宋_GB2312" w:cs="仿宋_GB2312"/>
          <w:b w:val="0"/>
          <w:bCs w:val="0"/>
          <w:color w:val="auto"/>
          <w:sz w:val="32"/>
          <w:szCs w:val="32"/>
          <w:highlight w:val="none"/>
          <w:lang w:eastAsia="zh-CN"/>
        </w:rPr>
        <w:t>对营商环境重要性认识不深刻。</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firstLine="640" w:firstLineChars="200"/>
        <w:textAlignment w:val="auto"/>
        <w:rPr>
          <w:rFonts w:hint="eastAsia" w:ascii="仿宋_GB2312" w:hAnsi="仿宋_GB2312" w:eastAsia="仿宋_GB2312" w:cs="仿宋_GB2312"/>
          <w:b w:val="0"/>
          <w:bCs w:val="0"/>
          <w:i w:val="0"/>
          <w:iCs w:val="0"/>
          <w:caps w:val="0"/>
          <w:color w:val="auto"/>
          <w:spacing w:val="0"/>
          <w:sz w:val="32"/>
          <w:szCs w:val="32"/>
          <w:shd w:val="clear" w:color="auto" w:fill="FFFFFF"/>
          <w:lang w:eastAsia="zh-CN"/>
        </w:rPr>
      </w:pPr>
      <w:r>
        <w:rPr>
          <w:rFonts w:hint="eastAsia" w:ascii="仿宋_GB2312" w:hAnsi="仿宋_GB2312" w:eastAsia="仿宋_GB2312" w:cs="仿宋_GB2312"/>
          <w:b w:val="0"/>
          <w:bCs w:val="0"/>
          <w:i w:val="0"/>
          <w:iCs w:val="0"/>
          <w:caps w:val="0"/>
          <w:color w:val="auto"/>
          <w:spacing w:val="0"/>
          <w:sz w:val="32"/>
          <w:szCs w:val="32"/>
          <w:shd w:val="clear" w:color="auto" w:fill="FFFFFF"/>
          <w:lang w:eastAsia="zh-CN"/>
        </w:rPr>
        <w:t>整改情况：</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i w:val="0"/>
          <w:iCs w:val="0"/>
          <w:caps w:val="0"/>
          <w:color w:val="auto"/>
          <w:spacing w:val="0"/>
          <w:sz w:val="32"/>
          <w:szCs w:val="32"/>
          <w:shd w:val="clear" w:color="auto" w:fill="FFFFFF"/>
          <w:lang w:eastAsia="zh-CN"/>
        </w:rPr>
        <w:t>一是今年以来</w:t>
      </w:r>
      <w:r>
        <w:rPr>
          <w:rFonts w:hint="eastAsia" w:ascii="仿宋_GB2312" w:hAnsi="仿宋_GB2312" w:eastAsia="仿宋_GB2312" w:cs="仿宋_GB2312"/>
          <w:b w:val="0"/>
          <w:bCs w:val="0"/>
          <w:i w:val="0"/>
          <w:iCs w:val="0"/>
          <w:caps w:val="0"/>
          <w:color w:val="auto"/>
          <w:spacing w:val="0"/>
          <w:sz w:val="32"/>
          <w:szCs w:val="32"/>
          <w:shd w:val="clear" w:color="auto" w:fill="FFFFFF"/>
          <w:lang w:val="en-US" w:eastAsia="zh-CN"/>
        </w:rPr>
        <w:t>，我局及中心共</w:t>
      </w:r>
      <w:r>
        <w:rPr>
          <w:rFonts w:hint="eastAsia" w:ascii="仿宋_GB2312" w:hAnsi="仿宋_GB2312" w:eastAsia="仿宋_GB2312" w:cs="仿宋_GB2312"/>
          <w:b w:val="0"/>
          <w:bCs w:val="0"/>
          <w:i w:val="0"/>
          <w:iCs w:val="0"/>
          <w:caps w:val="0"/>
          <w:color w:val="auto"/>
          <w:spacing w:val="0"/>
          <w:sz w:val="32"/>
          <w:szCs w:val="32"/>
          <w:shd w:val="clear" w:color="auto" w:fill="FFFFFF"/>
          <w:lang w:eastAsia="zh-CN"/>
        </w:rPr>
        <w:t>召开优化营商环境相关会议</w:t>
      </w:r>
      <w:r>
        <w:rPr>
          <w:rFonts w:hint="eastAsia" w:ascii="仿宋_GB2312" w:hAnsi="仿宋_GB2312" w:eastAsia="仿宋_GB2312" w:cs="仿宋_GB2312"/>
          <w:b w:val="0"/>
          <w:bCs w:val="0"/>
          <w:i w:val="0"/>
          <w:iCs w:val="0"/>
          <w:caps w:val="0"/>
          <w:color w:val="auto"/>
          <w:spacing w:val="0"/>
          <w:sz w:val="32"/>
          <w:szCs w:val="32"/>
          <w:shd w:val="clear" w:color="auto" w:fill="FFFFFF"/>
          <w:lang w:val="en-US" w:eastAsia="zh-CN"/>
        </w:rPr>
        <w:t>4次，</w:t>
      </w:r>
      <w:r>
        <w:rPr>
          <w:rFonts w:hint="eastAsia" w:ascii="仿宋_GB2312" w:hAnsi="仿宋_GB2312" w:eastAsia="仿宋_GB2312" w:cs="仿宋_GB2312"/>
          <w:b w:val="0"/>
          <w:bCs w:val="0"/>
          <w:color w:val="auto"/>
          <w:sz w:val="32"/>
          <w:szCs w:val="32"/>
          <w:lang w:eastAsia="zh-CN"/>
        </w:rPr>
        <w:t>部署了我局及中心未来优化营商环境工作计划，强化全员优化营商环境思想，</w:t>
      </w:r>
      <w:r>
        <w:rPr>
          <w:rFonts w:hint="eastAsia" w:ascii="仿宋_GB2312" w:hAnsi="仿宋_GB2312" w:eastAsia="仿宋_GB2312" w:cs="仿宋_GB2312"/>
          <w:b w:val="0"/>
          <w:bCs w:val="0"/>
          <w:color w:val="auto"/>
          <w:sz w:val="32"/>
          <w:szCs w:val="32"/>
          <w:lang w:val="en-US" w:eastAsia="zh-CN"/>
        </w:rPr>
        <w:t>全体</w:t>
      </w:r>
      <w:r>
        <w:rPr>
          <w:rFonts w:hint="eastAsia" w:ascii="仿宋_GB2312" w:hAnsi="仿宋_GB2312" w:eastAsia="仿宋_GB2312" w:cs="仿宋_GB2312"/>
          <w:b w:val="0"/>
          <w:bCs w:val="0"/>
          <w:color w:val="auto"/>
          <w:sz w:val="32"/>
          <w:szCs w:val="32"/>
        </w:rPr>
        <w:t>党员干部深入学习</w:t>
      </w:r>
      <w:r>
        <w:rPr>
          <w:rFonts w:hint="eastAsia" w:ascii="仿宋_GB2312" w:hAnsi="仿宋_GB2312" w:eastAsia="仿宋_GB2312" w:cs="仿宋_GB2312"/>
          <w:b w:val="0"/>
          <w:bCs w:val="0"/>
          <w:color w:val="auto"/>
          <w:sz w:val="32"/>
          <w:szCs w:val="32"/>
          <w:lang w:eastAsia="zh-CN"/>
        </w:rPr>
        <w:t>《条例》，</w:t>
      </w:r>
      <w:r>
        <w:rPr>
          <w:rFonts w:hint="eastAsia" w:ascii="仿宋_GB2312" w:hAnsi="仿宋_GB2312" w:eastAsia="仿宋_GB2312" w:cs="仿宋_GB2312"/>
          <w:b w:val="0"/>
          <w:bCs w:val="0"/>
          <w:color w:val="auto"/>
          <w:sz w:val="32"/>
          <w:szCs w:val="32"/>
        </w:rPr>
        <w:t>领会</w:t>
      </w:r>
      <w:r>
        <w:rPr>
          <w:rFonts w:hint="eastAsia" w:ascii="仿宋_GB2312" w:hAnsi="仿宋_GB2312" w:eastAsia="仿宋_GB2312" w:cs="仿宋_GB2312"/>
          <w:b w:val="0"/>
          <w:bCs w:val="0"/>
          <w:color w:val="auto"/>
          <w:sz w:val="32"/>
          <w:szCs w:val="32"/>
          <w:lang w:val="en-US" w:eastAsia="zh-CN"/>
        </w:rPr>
        <w:t>习近平新时代中国特色社会主义思想的主要内容</w:t>
      </w:r>
      <w:r>
        <w:rPr>
          <w:rFonts w:hint="eastAsia" w:ascii="仿宋_GB2312" w:hAnsi="仿宋_GB2312" w:eastAsia="仿宋_GB2312" w:cs="仿宋_GB2312"/>
          <w:b w:val="0"/>
          <w:bCs w:val="0"/>
          <w:color w:val="auto"/>
          <w:sz w:val="32"/>
          <w:szCs w:val="32"/>
        </w:rPr>
        <w:t>，使党员干部自觉用习近平新时代中国特色社会主义思想武装头脑、指导实践、推动</w:t>
      </w:r>
      <w:r>
        <w:rPr>
          <w:rFonts w:hint="eastAsia" w:ascii="仿宋_GB2312" w:hAnsi="仿宋_GB2312" w:eastAsia="仿宋_GB2312" w:cs="仿宋_GB2312"/>
          <w:b w:val="0"/>
          <w:bCs w:val="0"/>
          <w:color w:val="auto"/>
          <w:sz w:val="32"/>
          <w:szCs w:val="32"/>
          <w:lang w:eastAsia="zh-CN"/>
        </w:rPr>
        <w:t>我局优化营商环境</w:t>
      </w:r>
      <w:r>
        <w:rPr>
          <w:rFonts w:hint="eastAsia" w:ascii="仿宋_GB2312" w:hAnsi="仿宋_GB2312" w:eastAsia="仿宋_GB2312" w:cs="仿宋_GB2312"/>
          <w:b w:val="0"/>
          <w:bCs w:val="0"/>
          <w:color w:val="auto"/>
          <w:sz w:val="32"/>
          <w:szCs w:val="32"/>
        </w:rPr>
        <w:t>工作</w:t>
      </w:r>
      <w:r>
        <w:rPr>
          <w:rFonts w:hint="eastAsia" w:ascii="仿宋_GB2312" w:hAnsi="仿宋_GB2312" w:eastAsia="仿宋_GB2312" w:cs="仿宋_GB2312"/>
          <w:b w:val="0"/>
          <w:bCs w:val="0"/>
          <w:color w:val="auto"/>
          <w:sz w:val="32"/>
          <w:szCs w:val="32"/>
          <w:lang w:eastAsia="zh-CN"/>
        </w:rPr>
        <w:t>。二是我局中心</w:t>
      </w:r>
      <w:r>
        <w:rPr>
          <w:rFonts w:hint="eastAsia" w:ascii="仿宋_GB2312" w:hAnsi="仿宋_GB2312" w:eastAsia="仿宋_GB2312" w:cs="仿宋_GB2312"/>
          <w:b w:val="0"/>
          <w:bCs w:val="0"/>
          <w:color w:val="auto"/>
          <w:sz w:val="32"/>
          <w:szCs w:val="32"/>
          <w:lang w:val="en-US" w:eastAsia="zh-CN"/>
        </w:rPr>
        <w:t>参考《政务大厅常见问题自查表》进行整改提升，将查出来的问题：叫号机损坏、自助服务区电脑不流畅及时进行维修。</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0" w:firstLineChars="200"/>
        <w:jc w:val="both"/>
        <w:textAlignment w:val="auto"/>
        <w:rPr>
          <w:rFonts w:hint="eastAsia" w:ascii="Times New Roman" w:hAnsi="Times New Roman" w:eastAsia="楷体" w:cs="Times New Roman"/>
          <w:b w:val="0"/>
          <w:bCs w:val="0"/>
          <w:color w:val="auto"/>
          <w:sz w:val="32"/>
          <w:szCs w:val="32"/>
          <w:highlight w:val="none"/>
          <w:lang w:eastAsia="zh-CN"/>
        </w:rPr>
      </w:pPr>
      <w:r>
        <w:rPr>
          <w:rFonts w:hint="eastAsia" w:ascii="Times New Roman" w:hAnsi="Times New Roman" w:eastAsia="楷体" w:cs="Times New Roman"/>
          <w:b w:val="0"/>
          <w:bCs w:val="0"/>
          <w:color w:val="auto"/>
          <w:sz w:val="32"/>
          <w:szCs w:val="32"/>
          <w:highlight w:val="none"/>
          <w:lang w:eastAsia="zh-CN"/>
        </w:rPr>
        <w:t>谋划不够深入</w:t>
      </w:r>
    </w:p>
    <w:p>
      <w:pPr>
        <w:pStyle w:val="2"/>
        <w:keepNext w:val="0"/>
        <w:keepLines w:val="0"/>
        <w:pageBreakBefore w:val="0"/>
        <w:widowControl w:val="0"/>
        <w:numPr>
          <w:ilvl w:val="0"/>
          <w:numId w:val="0"/>
        </w:numPr>
        <w:kinsoku/>
        <w:wordWrap/>
        <w:overflowPunct/>
        <w:topLinePunct w:val="0"/>
        <w:autoSpaceDE/>
        <w:autoSpaceDN/>
        <w:bidi w:val="0"/>
        <w:snapToGrid/>
        <w:spacing w:after="0" w:afterLines="0" w:line="580" w:lineRule="exact"/>
        <w:ind w:left="0" w:lef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1.谋划站位不高。</w:t>
      </w:r>
    </w:p>
    <w:p>
      <w:pPr>
        <w:pStyle w:val="2"/>
        <w:keepNext w:val="0"/>
        <w:keepLines w:val="0"/>
        <w:pageBreakBefore w:val="0"/>
        <w:widowControl w:val="0"/>
        <w:numPr>
          <w:ilvl w:val="0"/>
          <w:numId w:val="0"/>
        </w:numPr>
        <w:kinsoku/>
        <w:wordWrap/>
        <w:overflowPunct/>
        <w:topLinePunct w:val="0"/>
        <w:autoSpaceDE/>
        <w:autoSpaceDN/>
        <w:bidi w:val="0"/>
        <w:snapToGrid/>
        <w:spacing w:after="0" w:afterLines="0" w:line="580" w:lineRule="exact"/>
        <w:ind w:left="0" w:leftChars="0" w:firstLine="640" w:firstLineChars="200"/>
        <w:textAlignment w:val="auto"/>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val="0"/>
          <w:bCs w:val="0"/>
          <w:color w:val="auto"/>
          <w:sz w:val="32"/>
          <w:szCs w:val="32"/>
          <w:lang w:eastAsia="zh-CN"/>
        </w:rPr>
        <w:t>整改情况：</w:t>
      </w:r>
    </w:p>
    <w:p>
      <w:pPr>
        <w:pStyle w:val="2"/>
        <w:keepNext w:val="0"/>
        <w:keepLines w:val="0"/>
        <w:pageBreakBefore w:val="0"/>
        <w:widowControl w:val="0"/>
        <w:numPr>
          <w:ilvl w:val="0"/>
          <w:numId w:val="0"/>
        </w:numPr>
        <w:kinsoku/>
        <w:wordWrap/>
        <w:overflowPunct/>
        <w:topLinePunct w:val="0"/>
        <w:autoSpaceDE/>
        <w:autoSpaceDN/>
        <w:bidi w:val="0"/>
        <w:snapToGrid/>
        <w:spacing w:after="0" w:afterLines="0" w:line="580" w:lineRule="exact"/>
        <w:ind w:left="0" w:lef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eastAsia="zh-CN"/>
        </w:rPr>
        <w:t>我局统筹政务服务资源，</w:t>
      </w:r>
      <w:r>
        <w:rPr>
          <w:rFonts w:hint="eastAsia" w:ascii="仿宋_GB2312" w:hAnsi="仿宋_GB2312" w:eastAsia="仿宋_GB2312" w:cs="仿宋_GB2312"/>
          <w:b w:val="0"/>
          <w:bCs w:val="0"/>
          <w:color w:val="auto"/>
          <w:sz w:val="32"/>
          <w:szCs w:val="32"/>
        </w:rPr>
        <w:t>打造“亭满意”政务服务品牌</w:t>
      </w:r>
      <w:r>
        <w:rPr>
          <w:rFonts w:hint="eastAsia" w:ascii="仿宋_GB2312" w:hAnsi="仿宋_GB2312" w:eastAsia="仿宋_GB2312" w:cs="仿宋_GB2312"/>
          <w:b w:val="0"/>
          <w:bCs w:val="0"/>
          <w:color w:val="auto"/>
          <w:sz w:val="32"/>
          <w:szCs w:val="32"/>
          <w:lang w:eastAsia="zh-CN"/>
        </w:rPr>
        <w:t>，一是“红建设”：以红色党建阵地为主基调，深化党建知识内涵，营造我局浓厚红色党建氛围。二是“简建设”：以减证便民，取消非必要、不实际的材料，能够复用的材料不再要求提供等措施为目标开展工作。三是“快建设”：以梳理事项清单，优化流程，最大限度压缩、取消不必要的审批环节，缩短审批时限，切实提高审批效能。四是“暖建设”：将延伸服务、细节服务作为改革方向，聚焦提升我局的志愿服务、文明服务、特色服务水平。</w:t>
      </w:r>
      <w:r>
        <w:rPr>
          <w:rFonts w:hint="eastAsia" w:ascii="仿宋_GB2312" w:hAnsi="仿宋_GB2312" w:eastAsia="仿宋_GB2312" w:cs="仿宋_GB2312"/>
          <w:b w:val="0"/>
          <w:bCs w:val="0"/>
          <w:color w:val="auto"/>
          <w:sz w:val="32"/>
          <w:szCs w:val="32"/>
          <w:lang w:val="en-US" w:eastAsia="zh-CN"/>
        </w:rPr>
        <w:t>2023年以来，我局及服务中心依据“亭满意”品牌建设工作，对各窗口单位组织三次综合服务能力进行每月点评活动，对我局中心各窗口单位服务较突出的窗口进行颁奖，以激励更好的为企业为群众服务。</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val="en-US" w:eastAsia="zh-CN"/>
        </w:rPr>
        <w:t>2.</w:t>
      </w:r>
      <w:r>
        <w:rPr>
          <w:rFonts w:hint="eastAsia" w:ascii="仿宋_GB2312" w:hAnsi="仿宋_GB2312" w:eastAsia="仿宋_GB2312" w:cs="仿宋_GB2312"/>
          <w:b w:val="0"/>
          <w:bCs w:val="0"/>
          <w:color w:val="auto"/>
          <w:sz w:val="32"/>
          <w:szCs w:val="32"/>
          <w:highlight w:val="none"/>
          <w:lang w:eastAsia="zh-CN"/>
        </w:rPr>
        <w:t>牵头部门及责任单位的主动谋划不足。</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整改情况：</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textAlignment w:val="auto"/>
        <w:rPr>
          <w:rFonts w:hint="eastAsia"/>
          <w:b w:val="0"/>
          <w:bCs w:val="0"/>
          <w:color w:val="auto"/>
          <w:lang w:val="en-US" w:eastAsia="zh-CN"/>
        </w:rPr>
      </w:pPr>
      <w:r>
        <w:rPr>
          <w:rFonts w:hint="eastAsia" w:ascii="仿宋_GB2312" w:hAnsi="仿宋_GB2312" w:eastAsia="仿宋_GB2312" w:cs="仿宋_GB2312"/>
          <w:b w:val="0"/>
          <w:bCs w:val="0"/>
          <w:color w:val="auto"/>
          <w:sz w:val="32"/>
          <w:szCs w:val="32"/>
          <w:lang w:val="en-US" w:eastAsia="zh-CN"/>
        </w:rPr>
        <w:t>一是我局立足于企业和群众需求，以“便民利民、清正廉洁、依法行政、用心服务”为工作准则，我局于2022年10月21日邀请第三方评议对我局政务服务环境进行考察。二是2023年3月3日，在我局中心建立“红建设”学习园地，中心各窗口单位将学习心得和工作情况进行汇报，收录学习汇报30份，该项举措旨在我局便于了解窗口服务工作情况，增强窗口服务责任意识。</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Times New Roman" w:hAnsi="Times New Roman" w:eastAsia="楷体" w:cs="Times New Roman"/>
          <w:b w:val="0"/>
          <w:bCs w:val="0"/>
          <w:color w:val="auto"/>
          <w:sz w:val="32"/>
          <w:szCs w:val="32"/>
          <w:highlight w:val="none"/>
          <w:lang w:eastAsia="zh-CN"/>
        </w:rPr>
      </w:pPr>
      <w:r>
        <w:rPr>
          <w:rFonts w:hint="eastAsia" w:ascii="Times New Roman" w:hAnsi="Times New Roman" w:eastAsia="楷体" w:cs="Times New Roman"/>
          <w:b w:val="0"/>
          <w:bCs w:val="0"/>
          <w:color w:val="auto"/>
          <w:sz w:val="32"/>
          <w:szCs w:val="32"/>
          <w:highlight w:val="none"/>
          <w:lang w:eastAsia="zh-CN"/>
        </w:rPr>
        <w:t>推进不够到位</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1.牵头抓总责任不到位。</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val="0"/>
          <w:bCs w:val="0"/>
          <w:color w:val="auto"/>
          <w:sz w:val="32"/>
          <w:szCs w:val="32"/>
          <w:lang w:val="en-US" w:eastAsia="zh-CN"/>
        </w:rPr>
        <w:t>一是</w:t>
      </w:r>
      <w:r>
        <w:rPr>
          <w:rFonts w:hint="eastAsia" w:ascii="仿宋_GB2312" w:hAnsi="仿宋_GB2312" w:eastAsia="仿宋_GB2312" w:cs="仿宋_GB2312"/>
          <w:b w:val="0"/>
          <w:bCs w:val="0"/>
          <w:color w:val="auto"/>
          <w:sz w:val="32"/>
          <w:szCs w:val="32"/>
          <w:lang w:eastAsia="zh-CN"/>
        </w:rPr>
        <w:t>今年以来，根据区营商办要求，</w:t>
      </w:r>
      <w:r>
        <w:rPr>
          <w:rFonts w:hint="eastAsia" w:ascii="仿宋_GB2312" w:hAnsi="仿宋_GB2312" w:eastAsia="仿宋_GB2312" w:cs="仿宋_GB2312"/>
          <w:b w:val="0"/>
          <w:bCs w:val="0"/>
          <w:color w:val="auto"/>
          <w:sz w:val="32"/>
          <w:szCs w:val="32"/>
          <w:lang w:val="en-US" w:eastAsia="zh-CN"/>
        </w:rPr>
        <w:t>为迎接新一轮优化营商环境考核，</w:t>
      </w:r>
      <w:r>
        <w:rPr>
          <w:rFonts w:hint="eastAsia" w:ascii="仿宋_GB2312" w:hAnsi="仿宋_GB2312" w:eastAsia="仿宋_GB2312" w:cs="仿宋_GB2312"/>
          <w:b w:val="0"/>
          <w:bCs w:val="0"/>
          <w:color w:val="auto"/>
          <w:sz w:val="32"/>
          <w:szCs w:val="32"/>
          <w:lang w:eastAsia="zh-CN"/>
        </w:rPr>
        <w:t>我局在</w:t>
      </w:r>
      <w:r>
        <w:rPr>
          <w:rFonts w:hint="eastAsia" w:ascii="仿宋_GB2312" w:hAnsi="仿宋_GB2312" w:eastAsia="仿宋_GB2312" w:cs="仿宋_GB2312"/>
          <w:b w:val="0"/>
          <w:bCs w:val="0"/>
          <w:color w:val="auto"/>
          <w:sz w:val="32"/>
          <w:szCs w:val="32"/>
          <w:lang w:val="en-US" w:eastAsia="zh-CN"/>
        </w:rPr>
        <w:t>2023年2月8日将往年填报指标梳理完毕，在我局积极筹备下，于2022年推行了“二维码办事指南”、“一业一证”、“施工许可一件事一次办”等相关举措。二是我局中心</w:t>
      </w:r>
      <w:r>
        <w:rPr>
          <w:rFonts w:hint="eastAsia" w:ascii="仿宋_GB2312" w:hAnsi="仿宋_GB2312" w:eastAsia="仿宋_GB2312" w:cs="仿宋_GB2312"/>
          <w:b w:val="0"/>
          <w:bCs w:val="0"/>
          <w:color w:val="auto"/>
          <w:sz w:val="32"/>
          <w:szCs w:val="32"/>
          <w:lang w:eastAsia="zh-CN"/>
        </w:rPr>
        <w:t>采取每日值班模式，主要负责维护服务大厅秩序，针对企业开办、群众办事等日常工作提供免费帮办代办服务，并对营商环境自助服务机器、适老化服务措施，免费邮寄等便民指标进行自查。</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val="en-US" w:eastAsia="zh-CN"/>
        </w:rPr>
        <w:t>2.</w:t>
      </w:r>
      <w:r>
        <w:rPr>
          <w:rFonts w:hint="eastAsia" w:ascii="仿宋_GB2312" w:hAnsi="仿宋_GB2312" w:eastAsia="仿宋_GB2312" w:cs="仿宋_GB2312"/>
          <w:b w:val="0"/>
          <w:bCs w:val="0"/>
          <w:color w:val="auto"/>
          <w:sz w:val="32"/>
          <w:szCs w:val="32"/>
          <w:highlight w:val="none"/>
          <w:lang w:eastAsia="zh-CN"/>
        </w:rPr>
        <w:t>“等靠”思想不同程度存在。</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val="0"/>
          <w:bCs w:val="0"/>
          <w:color w:val="auto"/>
          <w:sz w:val="32"/>
          <w:szCs w:val="32"/>
          <w:lang w:val="en-US" w:eastAsia="zh-CN"/>
        </w:rPr>
        <w:t>一是</w:t>
      </w:r>
      <w:r>
        <w:rPr>
          <w:rFonts w:hint="eastAsia" w:ascii="仿宋_GB2312" w:hAnsi="仿宋_GB2312" w:eastAsia="仿宋_GB2312" w:cs="仿宋_GB2312"/>
          <w:b w:val="0"/>
          <w:bCs w:val="0"/>
          <w:color w:val="auto"/>
          <w:sz w:val="32"/>
          <w:szCs w:val="32"/>
          <w:lang w:eastAsia="zh-CN"/>
        </w:rPr>
        <w:t>根据区营商办要求，</w:t>
      </w:r>
      <w:r>
        <w:rPr>
          <w:rFonts w:hint="eastAsia" w:ascii="仿宋_GB2312" w:hAnsi="仿宋_GB2312" w:eastAsia="仿宋_GB2312" w:cs="仿宋_GB2312"/>
          <w:b w:val="0"/>
          <w:bCs w:val="0"/>
          <w:color w:val="auto"/>
          <w:sz w:val="32"/>
          <w:szCs w:val="32"/>
          <w:lang w:val="en-US" w:eastAsia="zh-CN"/>
        </w:rPr>
        <w:t>为迎接新一轮优化营商环境考核，</w:t>
      </w:r>
      <w:r>
        <w:rPr>
          <w:rFonts w:hint="eastAsia" w:ascii="仿宋_GB2312" w:hAnsi="仿宋_GB2312" w:eastAsia="仿宋_GB2312" w:cs="仿宋_GB2312"/>
          <w:b w:val="0"/>
          <w:bCs w:val="0"/>
          <w:color w:val="auto"/>
          <w:sz w:val="32"/>
          <w:szCs w:val="32"/>
          <w:lang w:eastAsia="zh-CN"/>
        </w:rPr>
        <w:t>我局已在</w:t>
      </w:r>
      <w:r>
        <w:rPr>
          <w:rFonts w:hint="eastAsia" w:ascii="仿宋_GB2312" w:hAnsi="仿宋_GB2312" w:eastAsia="仿宋_GB2312" w:cs="仿宋_GB2312"/>
          <w:b w:val="0"/>
          <w:bCs w:val="0"/>
          <w:color w:val="auto"/>
          <w:sz w:val="32"/>
          <w:szCs w:val="32"/>
          <w:lang w:val="en-US" w:eastAsia="zh-CN"/>
        </w:rPr>
        <w:t>2023年2月8日将往年填报指标梳理完毕，将往年填报指标的量化指标、便民措施、政策公示方面进行逐一更新。二是在我局积极筹备下推出的“</w:t>
      </w:r>
      <w:r>
        <w:rPr>
          <w:rFonts w:hint="eastAsia" w:ascii="仿宋_GB2312" w:hAnsi="仿宋_GB2312" w:eastAsia="仿宋_GB2312" w:cs="仿宋_GB2312"/>
          <w:b w:val="0"/>
          <w:bCs w:val="0"/>
          <w:color w:val="auto"/>
          <w:sz w:val="32"/>
          <w:szCs w:val="32"/>
          <w:lang w:eastAsia="zh-CN"/>
        </w:rPr>
        <w:t>四个建设”包括：红建设、简建设、快建设、暖建设。今年以来，龙亭区积极开展“亭满意”建设活动，以流程优化、服务娴熟、数字赋能为突破口，持续推动政务服务提速升级。</w:t>
      </w:r>
    </w:p>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firstLine="640" w:firstLineChars="200"/>
        <w:jc w:val="both"/>
        <w:textAlignment w:val="auto"/>
        <w:rPr>
          <w:rFonts w:hint="eastAsia"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val="en-US" w:eastAsia="zh-CN"/>
        </w:rPr>
        <w:t>查找堵点难点方面存在的问题及整改情况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楷体" w:hAnsi="楷体" w:eastAsia="楷体" w:cs="楷体"/>
          <w:b w:val="0"/>
          <w:bCs w:val="0"/>
          <w:color w:val="auto"/>
          <w:sz w:val="32"/>
          <w:szCs w:val="32"/>
          <w:highlight w:val="none"/>
          <w:lang w:val="en-US" w:eastAsia="zh-CN"/>
        </w:rPr>
      </w:pPr>
      <w:r>
        <w:rPr>
          <w:rFonts w:hint="eastAsia" w:ascii="楷体" w:hAnsi="楷体" w:eastAsia="楷体" w:cs="楷体"/>
          <w:b w:val="0"/>
          <w:bCs w:val="0"/>
          <w:color w:val="auto"/>
          <w:sz w:val="32"/>
          <w:szCs w:val="32"/>
          <w:highlight w:val="none"/>
          <w:lang w:val="en-US" w:eastAsia="zh-CN"/>
        </w:rPr>
        <w:t>（一）优化政务环境方面</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1.“服务最后一米”没有打通。</w:t>
      </w:r>
    </w:p>
    <w:p>
      <w:pPr>
        <w:keepNext w:val="0"/>
        <w:keepLines w:val="0"/>
        <w:pageBreakBefore w:val="0"/>
        <w:widowControl w:val="0"/>
        <w:kinsoku/>
        <w:wordWrap/>
        <w:overflowPunct/>
        <w:topLinePunct w:val="0"/>
        <w:autoSpaceDE/>
        <w:autoSpaceDN/>
        <w:bidi w:val="0"/>
        <w:adjustRightInd w:val="0"/>
        <w:snapToGrid/>
        <w:spacing w:line="580" w:lineRule="exact"/>
        <w:ind w:left="0" w:leftChars="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整改情况：</w:t>
      </w:r>
    </w:p>
    <w:p>
      <w:pPr>
        <w:keepNext w:val="0"/>
        <w:keepLines w:val="0"/>
        <w:pageBreakBefore w:val="0"/>
        <w:widowControl w:val="0"/>
        <w:kinsoku/>
        <w:wordWrap/>
        <w:overflowPunct/>
        <w:topLinePunct w:val="0"/>
        <w:autoSpaceDE/>
        <w:autoSpaceDN/>
        <w:bidi w:val="0"/>
        <w:adjustRightInd w:val="0"/>
        <w:snapToGrid/>
        <w:spacing w:line="580" w:lineRule="exact"/>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highlight w:val="none"/>
          <w:lang w:val="en-US" w:eastAsia="zh-CN"/>
        </w:rPr>
        <w:t>一是我局中心每日安排值班人员负责协调大厅秩序，针对社保业务的人流量变化适时启动“潮汐窗口”。二是残联、银行、税务已全部进驻我局服务中心，可正常开展业务办理。</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sz w:val="32"/>
          <w:szCs w:val="32"/>
          <w:highlight w:val="none"/>
          <w:lang w:val="en-US" w:eastAsia="zh-CN"/>
        </w:rPr>
        <w:t>2.</w:t>
      </w:r>
      <w:r>
        <w:rPr>
          <w:rFonts w:hint="eastAsia" w:ascii="仿宋_GB2312" w:hAnsi="仿宋_GB2312" w:eastAsia="仿宋_GB2312" w:cs="仿宋_GB2312"/>
          <w:b w:val="0"/>
          <w:bCs w:val="0"/>
          <w:color w:val="auto"/>
          <w:sz w:val="32"/>
          <w:szCs w:val="32"/>
          <w:highlight w:val="none"/>
          <w:lang w:eastAsia="zh-CN"/>
        </w:rPr>
        <w:t>基层便民服务中心建设不到位</w:t>
      </w:r>
      <w:r>
        <w:rPr>
          <w:rFonts w:hint="eastAsia" w:ascii="仿宋_GB2312" w:hAnsi="仿宋_GB2312" w:eastAsia="仿宋_GB2312" w:cs="仿宋_GB2312"/>
          <w:b w:val="0"/>
          <w:bCs w:val="0"/>
          <w:color w:val="auto"/>
          <w:kern w:val="2"/>
          <w:sz w:val="32"/>
          <w:szCs w:val="32"/>
          <w:highlight w:val="none"/>
          <w:lang w:val="en-US" w:eastAsia="zh-CN" w:bidi="ar-SA"/>
        </w:rPr>
        <w:t>。</w:t>
      </w:r>
    </w:p>
    <w:p>
      <w:pPr>
        <w:pStyle w:val="2"/>
        <w:keepNext w:val="0"/>
        <w:keepLines w:val="0"/>
        <w:pageBreakBefore w:val="0"/>
        <w:widowControl w:val="0"/>
        <w:numPr>
          <w:ilvl w:val="0"/>
          <w:numId w:val="0"/>
        </w:numPr>
        <w:kinsoku/>
        <w:wordWrap/>
        <w:overflowPunct/>
        <w:topLinePunct w:val="0"/>
        <w:autoSpaceDE/>
        <w:autoSpaceDN/>
        <w:bidi w:val="0"/>
        <w:snapToGrid/>
        <w:spacing w:after="0" w:afterLines="0" w:line="580" w:lineRule="exact"/>
        <w:ind w:left="0" w:lef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整改情况：</w:t>
      </w:r>
    </w:p>
    <w:p>
      <w:pPr>
        <w:pStyle w:val="2"/>
        <w:keepNext w:val="0"/>
        <w:keepLines w:val="0"/>
        <w:pageBreakBefore w:val="0"/>
        <w:widowControl w:val="0"/>
        <w:numPr>
          <w:ilvl w:val="0"/>
          <w:numId w:val="0"/>
        </w:numPr>
        <w:kinsoku/>
        <w:wordWrap/>
        <w:overflowPunct/>
        <w:topLinePunct w:val="0"/>
        <w:autoSpaceDE/>
        <w:autoSpaceDN/>
        <w:bidi w:val="0"/>
        <w:snapToGrid/>
        <w:spacing w:after="0" w:afterLines="0" w:line="580" w:lineRule="exact"/>
        <w:ind w:left="0" w:lef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一是我区六个乡办，目前仅柳园口乡没有固定场所，但柳园口乡便民服务类业务均设在社会事务办公室，业务可正常受理，场地选址建设由相关部门负责跟进。二是2023年3月6日下午，我局中心在北郊乡行政审批服务中心对全区六个乡办便民服务中心开展优化营商环境、政务服务业务、建设标准、服务细节等四个方面进行培训。三是2022年10月9日，我局中心对孙李唐社区便民服务中心建设进行规划性指导，2023年2月21日，我局中心对午朝门办事处和大兴办事处便民服务中心进行业务指导，对规范性服务和建设标准提出建议。</w:t>
      </w:r>
    </w:p>
    <w:p>
      <w:pPr>
        <w:keepNext w:val="0"/>
        <w:keepLines w:val="0"/>
        <w:pageBreakBefore w:val="0"/>
        <w:widowControl w:val="0"/>
        <w:kinsoku/>
        <w:wordWrap/>
        <w:overflowPunct/>
        <w:topLinePunct w:val="0"/>
        <w:autoSpaceDE/>
        <w:autoSpaceDN/>
        <w:bidi w:val="0"/>
        <w:snapToGrid/>
        <w:spacing w:line="58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color w:val="auto"/>
          <w:sz w:val="32"/>
          <w:szCs w:val="32"/>
          <w:lang w:val="en-US" w:eastAsia="zh-CN"/>
        </w:rPr>
        <w:t>三、查找问题根源方面存在的问题及整改情况</w:t>
      </w:r>
    </w:p>
    <w:p>
      <w:pPr>
        <w:keepNext w:val="0"/>
        <w:keepLines w:val="0"/>
        <w:pageBreakBefore w:val="0"/>
        <w:widowControl w:val="0"/>
        <w:kinsoku/>
        <w:wordWrap/>
        <w:overflowPunct/>
        <w:topLinePunct w:val="0"/>
        <w:autoSpaceDE/>
        <w:autoSpaceDN/>
        <w:bidi w:val="0"/>
        <w:snapToGrid/>
        <w:spacing w:line="580" w:lineRule="exact"/>
        <w:ind w:firstLine="640" w:firstLineChars="200"/>
        <w:textAlignment w:val="auto"/>
        <w:rPr>
          <w:rFonts w:hint="eastAsia" w:ascii="楷体" w:hAnsi="楷体" w:eastAsia="楷体" w:cs="楷体"/>
          <w:b w:val="0"/>
          <w:bCs w:val="0"/>
          <w:color w:val="auto"/>
          <w:sz w:val="32"/>
          <w:szCs w:val="32"/>
          <w:highlight w:val="none"/>
          <w:lang w:val="en-US" w:eastAsia="zh-CN"/>
        </w:rPr>
      </w:pPr>
      <w:r>
        <w:rPr>
          <w:rFonts w:hint="eastAsia" w:ascii="楷体" w:hAnsi="楷体" w:eastAsia="楷体" w:cs="楷体"/>
          <w:b w:val="0"/>
          <w:bCs w:val="0"/>
          <w:color w:val="auto"/>
          <w:sz w:val="32"/>
          <w:szCs w:val="32"/>
          <w:highlight w:val="none"/>
          <w:lang w:val="en-US" w:eastAsia="zh-CN"/>
        </w:rPr>
        <w:t>（一）问题整改主动性不强</w:t>
      </w:r>
    </w:p>
    <w:p>
      <w:pPr>
        <w:keepNext w:val="0"/>
        <w:keepLines w:val="0"/>
        <w:pageBreakBefore w:val="0"/>
        <w:widowControl w:val="0"/>
        <w:kinsoku/>
        <w:wordWrap/>
        <w:overflowPunct/>
        <w:topLinePunct w:val="0"/>
        <w:autoSpaceDE/>
        <w:autoSpaceDN/>
        <w:bidi w:val="0"/>
        <w:snapToGrid/>
        <w:spacing w:line="580" w:lineRule="exact"/>
        <w:ind w:firstLine="640" w:firstLineChars="200"/>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1.牵头部门存在做选择、疲于应付现象。</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firstLine="640" w:firstLineChars="200"/>
        <w:textAlignment w:val="auto"/>
        <w:rPr>
          <w:rStyle w:val="5"/>
          <w:rFonts w:hint="eastAsia" w:ascii="仿宋_GB2312" w:hAnsi="仿宋_GB2312" w:eastAsia="仿宋_GB2312" w:cs="仿宋_GB2312"/>
          <w:b w:val="0"/>
          <w:bCs w:val="0"/>
          <w:i w:val="0"/>
          <w:iCs w:val="0"/>
          <w:color w:val="auto"/>
          <w:spacing w:val="0"/>
          <w:sz w:val="32"/>
          <w:szCs w:val="32"/>
          <w:highlight w:val="none"/>
          <w:shd w:val="clear" w:color="auto" w:fill="auto"/>
          <w:lang w:val="en-US" w:eastAsia="zh-CN"/>
        </w:rPr>
      </w:pPr>
      <w:r>
        <w:rPr>
          <w:rStyle w:val="5"/>
          <w:rFonts w:hint="eastAsia" w:ascii="仿宋_GB2312" w:hAnsi="仿宋_GB2312" w:eastAsia="仿宋_GB2312" w:cs="仿宋_GB2312"/>
          <w:b w:val="0"/>
          <w:bCs w:val="0"/>
          <w:i w:val="0"/>
          <w:iCs w:val="0"/>
          <w:color w:val="auto"/>
          <w:spacing w:val="0"/>
          <w:sz w:val="32"/>
          <w:szCs w:val="32"/>
          <w:highlight w:val="none"/>
          <w:shd w:val="clear" w:color="auto" w:fill="auto"/>
          <w:lang w:val="en-US" w:eastAsia="zh-CN"/>
        </w:rPr>
        <w:t>整改情况：</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Style w:val="5"/>
          <w:rFonts w:hint="eastAsia" w:ascii="仿宋_GB2312" w:hAnsi="仿宋_GB2312" w:eastAsia="仿宋_GB2312" w:cs="仿宋_GB2312"/>
          <w:b w:val="0"/>
          <w:bCs w:val="0"/>
          <w:i w:val="0"/>
          <w:iCs w:val="0"/>
          <w:color w:val="auto"/>
          <w:spacing w:val="0"/>
          <w:sz w:val="32"/>
          <w:szCs w:val="32"/>
          <w:highlight w:val="none"/>
          <w:shd w:val="clear" w:color="auto" w:fill="auto"/>
          <w:lang w:val="en-US" w:eastAsia="zh-CN"/>
        </w:rPr>
        <w:t>按照《条例》</w:t>
      </w:r>
      <w:r>
        <w:rPr>
          <w:rFonts w:hint="eastAsia" w:ascii="仿宋_GB2312" w:hAnsi="仿宋_GB2312" w:eastAsia="仿宋_GB2312" w:cs="仿宋_GB2312"/>
          <w:b w:val="0"/>
          <w:bCs w:val="0"/>
          <w:color w:val="auto"/>
          <w:sz w:val="32"/>
          <w:szCs w:val="32"/>
          <w:lang w:val="en-US" w:eastAsia="zh-CN"/>
        </w:rPr>
        <w:t>结合我局工作实际，强化优化营商环境工作精神，针对工作实际查漏补缺，</w:t>
      </w:r>
      <w:r>
        <w:rPr>
          <w:rStyle w:val="5"/>
          <w:rFonts w:hint="eastAsia" w:ascii="仿宋_GB2312" w:hAnsi="仿宋_GB2312" w:eastAsia="仿宋_GB2312" w:cs="仿宋_GB2312"/>
          <w:b w:val="0"/>
          <w:bCs w:val="0"/>
          <w:i w:val="0"/>
          <w:iCs w:val="0"/>
          <w:color w:val="auto"/>
          <w:spacing w:val="0"/>
          <w:sz w:val="32"/>
          <w:szCs w:val="32"/>
          <w:highlight w:val="none"/>
          <w:shd w:val="clear" w:color="auto" w:fill="auto"/>
          <w:lang w:val="en-US" w:eastAsia="zh-CN"/>
        </w:rPr>
        <w:t>我局中心主动按照历年优化营商环境填报指标逐项自查。经自查，我局中心存在自助服务区硬件设施老化，操作系统易故障，帮办代办服务不及时等问题，针对该类问题我局中心逐一整改，对老化机器进行系统更新，对服务人员进行培训，系统如遇故障及时安排专人与系统客服沟通。</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2.问题整改没有做到常态化、长效化、制度化，对需要长期坚持整改的问题，未做到高标准、严要求。</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一是我局中心强调窗口工作人员严格遵守工作纪律，严格遵照规章制度办事，严格按照服务标准化来接待群众和企业，对企业开办类和其他各类业务严格实行告知承诺制。每日值班负责维护服务大厅秩序及当日设施设备运行情况，负责监督协调各窗口单位办事人员的言行举止。二是我局政务服务采取告知承诺制制度，对企业开办和其他各类业务办理采取一行告知，并制作二维码办事指南，最大程度的帮助群众了解办事程序和办理细节。三是我局中心每日安排专人负责维护大厅公共秩序，对大厅办事情况和窗口办事人流量进行实时监管，潮汐窗口在社保类业务办理高峰期时由日常值班人员负责启动。在每日值班人员的协调监管下，我局中心每日安排一名帮办代办人员负责整个中心业务的帮办代办，并配备统一的蓝马甲制服，专门为需要帮办代办的群众和企业服务。四是我局自2020年起，</w:t>
      </w:r>
      <w:r>
        <w:rPr>
          <w:rFonts w:hint="eastAsia" w:ascii="仿宋_GB2312" w:hAnsi="仿宋_GB2312" w:eastAsia="仿宋_GB2312" w:cs="仿宋_GB2312"/>
          <w:b w:val="0"/>
          <w:bCs w:val="0"/>
          <w:color w:val="auto"/>
          <w:sz w:val="32"/>
          <w:szCs w:val="32"/>
          <w:lang w:eastAsia="zh-CN"/>
        </w:rPr>
        <w:t>在区行政</w:t>
      </w:r>
      <w:r>
        <w:rPr>
          <w:rFonts w:hint="eastAsia" w:ascii="仿宋_GB2312" w:hAnsi="仿宋_GB2312" w:eastAsia="仿宋_GB2312" w:cs="仿宋_GB2312"/>
          <w:b w:val="0"/>
          <w:bCs w:val="0"/>
          <w:color w:val="auto"/>
          <w:sz w:val="32"/>
          <w:szCs w:val="32"/>
        </w:rPr>
        <w:t>服务大厅</w:t>
      </w:r>
      <w:r>
        <w:rPr>
          <w:rFonts w:hint="eastAsia" w:ascii="仿宋_GB2312" w:hAnsi="仿宋_GB2312" w:eastAsia="仿宋_GB2312" w:cs="仿宋_GB2312"/>
          <w:b w:val="0"/>
          <w:bCs w:val="0"/>
          <w:color w:val="auto"/>
          <w:sz w:val="32"/>
          <w:szCs w:val="32"/>
          <w:lang w:eastAsia="zh-CN"/>
        </w:rPr>
        <w:t>和</w:t>
      </w:r>
      <w:r>
        <w:rPr>
          <w:rFonts w:hint="eastAsia" w:ascii="仿宋_GB2312" w:hAnsi="仿宋_GB2312" w:eastAsia="仿宋_GB2312" w:cs="仿宋_GB2312"/>
          <w:b w:val="0"/>
          <w:bCs w:val="0"/>
          <w:color w:val="auto"/>
          <w:kern w:val="0"/>
          <w:sz w:val="32"/>
          <w:szCs w:val="32"/>
        </w:rPr>
        <w:t>乡（办）便民服务中心大厅摆放易拉宝</w:t>
      </w:r>
      <w:r>
        <w:rPr>
          <w:rFonts w:hint="eastAsia" w:ascii="仿宋_GB2312" w:hAnsi="仿宋_GB2312" w:eastAsia="仿宋_GB2312" w:cs="仿宋_GB2312"/>
          <w:b w:val="0"/>
          <w:bCs w:val="0"/>
          <w:color w:val="auto"/>
          <w:kern w:val="0"/>
          <w:sz w:val="32"/>
          <w:szCs w:val="32"/>
          <w:lang w:eastAsia="zh-CN"/>
        </w:rPr>
        <w:t>，</w:t>
      </w:r>
      <w:r>
        <w:rPr>
          <w:rFonts w:hint="eastAsia" w:ascii="仿宋_GB2312" w:hAnsi="仿宋_GB2312" w:eastAsia="仿宋_GB2312" w:cs="仿宋_GB2312"/>
          <w:b w:val="0"/>
          <w:bCs w:val="0"/>
          <w:color w:val="auto"/>
          <w:sz w:val="32"/>
          <w:szCs w:val="32"/>
        </w:rPr>
        <w:t>制作</w:t>
      </w:r>
      <w:r>
        <w:rPr>
          <w:rFonts w:hint="eastAsia" w:ascii="仿宋_GB2312" w:hAnsi="仿宋_GB2312" w:eastAsia="仿宋_GB2312" w:cs="仿宋_GB2312"/>
          <w:b w:val="0"/>
          <w:bCs w:val="0"/>
          <w:color w:val="auto"/>
          <w:sz w:val="32"/>
          <w:szCs w:val="32"/>
          <w:lang w:eastAsia="zh-CN"/>
        </w:rPr>
        <w:t>发放宣传页、</w:t>
      </w:r>
      <w:r>
        <w:rPr>
          <w:rFonts w:hint="eastAsia" w:ascii="仿宋_GB2312" w:hAnsi="仿宋_GB2312" w:eastAsia="仿宋_GB2312" w:cs="仿宋_GB2312"/>
          <w:b w:val="0"/>
          <w:bCs w:val="0"/>
          <w:color w:val="auto"/>
          <w:sz w:val="32"/>
          <w:szCs w:val="32"/>
        </w:rPr>
        <w:t>宣传</w:t>
      </w:r>
      <w:r>
        <w:rPr>
          <w:rFonts w:hint="eastAsia" w:ascii="仿宋_GB2312" w:hAnsi="仿宋_GB2312" w:eastAsia="仿宋_GB2312" w:cs="仿宋_GB2312"/>
          <w:b w:val="0"/>
          <w:bCs w:val="0"/>
          <w:color w:val="auto"/>
          <w:kern w:val="0"/>
          <w:sz w:val="32"/>
          <w:szCs w:val="32"/>
        </w:rPr>
        <w:t>册</w:t>
      </w:r>
      <w:r>
        <w:rPr>
          <w:rFonts w:hint="eastAsia" w:ascii="仿宋_GB2312" w:hAnsi="仿宋_GB2312" w:eastAsia="仿宋_GB2312" w:cs="仿宋_GB2312"/>
          <w:b w:val="0"/>
          <w:bCs w:val="0"/>
          <w:color w:val="auto"/>
          <w:kern w:val="0"/>
          <w:sz w:val="32"/>
          <w:szCs w:val="32"/>
          <w:lang w:eastAsia="zh-CN"/>
        </w:rPr>
        <w:t>（折页）共</w:t>
      </w:r>
      <w:r>
        <w:rPr>
          <w:rFonts w:hint="eastAsia" w:ascii="仿宋_GB2312" w:hAnsi="仿宋_GB2312" w:eastAsia="仿宋_GB2312" w:cs="仿宋_GB2312"/>
          <w:b w:val="0"/>
          <w:bCs w:val="0"/>
          <w:color w:val="auto"/>
          <w:kern w:val="0"/>
          <w:sz w:val="32"/>
          <w:szCs w:val="32"/>
          <w:lang w:val="en-US" w:eastAsia="zh-CN"/>
        </w:rPr>
        <w:t>45000余册</w:t>
      </w:r>
      <w:r>
        <w:rPr>
          <w:rFonts w:hint="eastAsia" w:ascii="仿宋_GB2312" w:hAnsi="仿宋_GB2312" w:eastAsia="仿宋_GB2312" w:cs="仿宋_GB2312"/>
          <w:b w:val="0"/>
          <w:bCs w:val="0"/>
          <w:color w:val="auto"/>
          <w:kern w:val="0"/>
          <w:sz w:val="32"/>
          <w:szCs w:val="32"/>
        </w:rPr>
        <w:t>、宣传单</w:t>
      </w:r>
      <w:r>
        <w:rPr>
          <w:rFonts w:hint="eastAsia" w:ascii="仿宋_GB2312" w:hAnsi="仿宋_GB2312" w:eastAsia="仿宋_GB2312" w:cs="仿宋_GB2312"/>
          <w:b w:val="0"/>
          <w:bCs w:val="0"/>
          <w:color w:val="auto"/>
          <w:kern w:val="0"/>
          <w:sz w:val="32"/>
          <w:szCs w:val="32"/>
          <w:lang w:val="en-US" w:eastAsia="zh-CN"/>
        </w:rPr>
        <w:t>70000余</w:t>
      </w:r>
      <w:r>
        <w:rPr>
          <w:rFonts w:hint="eastAsia" w:ascii="仿宋_GB2312" w:hAnsi="仿宋_GB2312" w:eastAsia="仿宋_GB2312" w:cs="仿宋_GB2312"/>
          <w:b w:val="0"/>
          <w:bCs w:val="0"/>
          <w:color w:val="auto"/>
          <w:kern w:val="0"/>
          <w:sz w:val="32"/>
          <w:szCs w:val="32"/>
        </w:rPr>
        <w:t>张、</w:t>
      </w:r>
      <w:r>
        <w:rPr>
          <w:rFonts w:hint="eastAsia" w:ascii="仿宋_GB2312" w:hAnsi="仿宋_GB2312" w:eastAsia="仿宋_GB2312" w:cs="仿宋_GB2312"/>
          <w:b w:val="0"/>
          <w:bCs w:val="0"/>
          <w:color w:val="auto"/>
          <w:kern w:val="0"/>
          <w:sz w:val="32"/>
          <w:szCs w:val="32"/>
          <w:lang w:eastAsia="zh-CN"/>
        </w:rPr>
        <w:t>“豫事办”APP操作手册</w:t>
      </w:r>
      <w:r>
        <w:rPr>
          <w:rFonts w:hint="eastAsia" w:ascii="仿宋_GB2312" w:hAnsi="仿宋_GB2312" w:eastAsia="仿宋_GB2312" w:cs="仿宋_GB2312"/>
          <w:b w:val="0"/>
          <w:bCs w:val="0"/>
          <w:color w:val="auto"/>
          <w:kern w:val="0"/>
          <w:sz w:val="32"/>
          <w:szCs w:val="32"/>
          <w:lang w:val="en-US" w:eastAsia="zh-CN"/>
        </w:rPr>
        <w:t>22000余册，</w:t>
      </w:r>
      <w:r>
        <w:rPr>
          <w:rFonts w:hint="eastAsia" w:ascii="仿宋_GB2312" w:hAnsi="仿宋_GB2312" w:eastAsia="仿宋_GB2312" w:cs="仿宋_GB2312"/>
          <w:b w:val="0"/>
          <w:bCs w:val="0"/>
          <w:color w:val="auto"/>
          <w:kern w:val="0"/>
          <w:sz w:val="32"/>
          <w:szCs w:val="32"/>
          <w:lang w:eastAsia="zh-CN"/>
        </w:rPr>
        <w:t>在政务服务大厅显著位置公示宣传版面、</w:t>
      </w:r>
      <w:r>
        <w:rPr>
          <w:rFonts w:hint="eastAsia" w:ascii="仿宋_GB2312" w:hAnsi="仿宋_GB2312" w:eastAsia="仿宋_GB2312" w:cs="仿宋_GB2312"/>
          <w:b w:val="0"/>
          <w:bCs w:val="0"/>
          <w:color w:val="auto"/>
          <w:sz w:val="32"/>
          <w:szCs w:val="32"/>
        </w:rPr>
        <w:t>海报</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kern w:val="0"/>
          <w:sz w:val="32"/>
          <w:szCs w:val="32"/>
          <w:lang w:eastAsia="zh-CN"/>
        </w:rPr>
        <w:t>持续在大厅内</w:t>
      </w:r>
      <w:r>
        <w:rPr>
          <w:rFonts w:hint="eastAsia" w:ascii="仿宋_GB2312" w:hAnsi="仿宋_GB2312" w:eastAsia="仿宋_GB2312" w:cs="仿宋_GB2312"/>
          <w:b w:val="0"/>
          <w:bCs w:val="0"/>
          <w:color w:val="auto"/>
          <w:kern w:val="0"/>
          <w:sz w:val="32"/>
          <w:szCs w:val="32"/>
        </w:rPr>
        <w:t>LED显示屏滚动播放</w:t>
      </w:r>
      <w:r>
        <w:rPr>
          <w:rFonts w:hint="eastAsia" w:ascii="仿宋_GB2312" w:hAnsi="仿宋_GB2312" w:eastAsia="仿宋_GB2312" w:cs="仿宋_GB2312"/>
          <w:b w:val="0"/>
          <w:bCs w:val="0"/>
          <w:color w:val="auto"/>
          <w:sz w:val="32"/>
          <w:szCs w:val="32"/>
        </w:rPr>
        <w:t>“豫事办”APP以及支付宝豫事办小程序</w:t>
      </w:r>
      <w:r>
        <w:rPr>
          <w:rFonts w:hint="eastAsia" w:ascii="仿宋_GB2312" w:hAnsi="仿宋_GB2312" w:eastAsia="仿宋_GB2312" w:cs="仿宋_GB2312"/>
          <w:b w:val="0"/>
          <w:bCs w:val="0"/>
          <w:color w:val="auto"/>
          <w:kern w:val="0"/>
          <w:sz w:val="32"/>
          <w:szCs w:val="32"/>
        </w:rPr>
        <w:t>宣传信息</w:t>
      </w:r>
      <w:r>
        <w:rPr>
          <w:rFonts w:hint="eastAsia" w:ascii="仿宋_GB2312" w:hAnsi="仿宋_GB2312" w:eastAsia="仿宋_GB2312" w:cs="仿宋_GB2312"/>
          <w:b w:val="0"/>
          <w:bCs w:val="0"/>
          <w:color w:val="auto"/>
          <w:sz w:val="32"/>
          <w:szCs w:val="32"/>
        </w:rPr>
        <w:t>。</w:t>
      </w:r>
    </w:p>
    <w:p>
      <w:pPr>
        <w:pStyle w:val="2"/>
        <w:keepNext w:val="0"/>
        <w:keepLines w:val="0"/>
        <w:pageBreakBefore w:val="0"/>
        <w:widowControl w:val="0"/>
        <w:tabs>
          <w:tab w:val="left" w:pos="331"/>
        </w:tabs>
        <w:kinsoku/>
        <w:wordWrap/>
        <w:overflowPunct/>
        <w:topLinePunct w:val="0"/>
        <w:autoSpaceDE/>
        <w:autoSpaceDN/>
        <w:bidi w:val="0"/>
        <w:adjustRightInd/>
        <w:snapToGrid/>
        <w:spacing w:after="0" w:afterLines="0" w:line="580" w:lineRule="exact"/>
        <w:ind w:left="0" w:leftChars="0" w:firstLine="640" w:firstLineChars="200"/>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3.存在字数整改、文字整改、表面整改现象。</w:t>
      </w:r>
    </w:p>
    <w:p>
      <w:pPr>
        <w:pStyle w:val="6"/>
        <w:keepNext w:val="0"/>
        <w:keepLines w:val="0"/>
        <w:pageBreakBefore w:val="0"/>
        <w:widowControl w:val="0"/>
        <w:kinsoku/>
        <w:wordWrap/>
        <w:overflowPunct/>
        <w:topLinePunct w:val="0"/>
        <w:autoSpaceDE/>
        <w:autoSpaceDN/>
        <w:bidi w:val="0"/>
        <w:adjustRightInd/>
        <w:snapToGrid/>
        <w:spacing w:after="0" w:line="580" w:lineRule="exact"/>
        <w:ind w:left="0" w:leftChars="0" w:firstLine="640" w:firstLineChars="200"/>
        <w:textAlignment w:val="auto"/>
        <w:rPr>
          <w:rFonts w:hint="eastAsia" w:ascii="仿宋_GB2312" w:hAnsi="仿宋_GB2312" w:eastAsia="仿宋_GB2312" w:cs="仿宋_GB2312"/>
          <w:b w:val="0"/>
          <w:bCs w:val="0"/>
          <w:i w:val="0"/>
          <w:iCs w:val="0"/>
          <w:color w:val="auto"/>
          <w:sz w:val="32"/>
          <w:szCs w:val="32"/>
          <w:u w:val="none"/>
          <w:lang w:eastAsia="zh-CN"/>
        </w:rPr>
      </w:pPr>
      <w:r>
        <w:rPr>
          <w:rFonts w:hint="eastAsia" w:ascii="仿宋_GB2312" w:hAnsi="仿宋_GB2312" w:eastAsia="仿宋_GB2312" w:cs="仿宋_GB2312"/>
          <w:b w:val="0"/>
          <w:bCs w:val="0"/>
          <w:i w:val="0"/>
          <w:iCs w:val="0"/>
          <w:color w:val="auto"/>
          <w:sz w:val="32"/>
          <w:szCs w:val="32"/>
          <w:u w:val="none"/>
          <w:lang w:eastAsia="zh-CN"/>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i w:val="0"/>
          <w:iCs w:val="0"/>
          <w:caps w:val="0"/>
          <w:color w:val="auto"/>
          <w:spacing w:val="8"/>
          <w:sz w:val="32"/>
          <w:szCs w:val="32"/>
          <w:shd w:val="clear" w:color="auto" w:fill="FFFFFF"/>
        </w:rPr>
      </w:pPr>
      <w:r>
        <w:rPr>
          <w:rFonts w:hint="eastAsia" w:ascii="仿宋_GB2312" w:hAnsi="仿宋_GB2312" w:eastAsia="仿宋_GB2312" w:cs="仿宋_GB2312"/>
          <w:b w:val="0"/>
          <w:bCs w:val="0"/>
          <w:i w:val="0"/>
          <w:iCs w:val="0"/>
          <w:color w:val="auto"/>
          <w:sz w:val="32"/>
          <w:szCs w:val="32"/>
          <w:u w:val="none"/>
          <w:lang w:eastAsia="zh-CN"/>
        </w:rPr>
        <w:t>我局于</w:t>
      </w:r>
      <w:r>
        <w:rPr>
          <w:rFonts w:hint="eastAsia" w:ascii="仿宋_GB2312" w:hAnsi="仿宋_GB2312" w:eastAsia="仿宋_GB2312" w:cs="仿宋_GB2312"/>
          <w:b w:val="0"/>
          <w:bCs w:val="0"/>
          <w:i w:val="0"/>
          <w:iCs w:val="0"/>
          <w:color w:val="auto"/>
          <w:sz w:val="32"/>
          <w:szCs w:val="32"/>
          <w:u w:val="none"/>
          <w:lang w:val="en-US" w:eastAsia="zh-CN"/>
        </w:rPr>
        <w:t>2021年2月16日和2022年10月21日邀请第三方考察团</w:t>
      </w:r>
      <w:r>
        <w:rPr>
          <w:rFonts w:hint="eastAsia" w:ascii="仿宋_GB2312" w:hAnsi="仿宋_GB2312" w:eastAsia="仿宋_GB2312" w:cs="仿宋_GB2312"/>
          <w:b w:val="0"/>
          <w:bCs w:val="0"/>
          <w:i w:val="0"/>
          <w:iCs w:val="0"/>
          <w:caps w:val="0"/>
          <w:color w:val="auto"/>
          <w:spacing w:val="8"/>
          <w:sz w:val="32"/>
          <w:szCs w:val="32"/>
          <w:shd w:val="clear" w:color="auto" w:fill="FFFFFF"/>
        </w:rPr>
        <w:t>开展“体验办事流程”市民考察团活动。</w:t>
      </w:r>
      <w:r>
        <w:rPr>
          <w:rFonts w:hint="eastAsia" w:ascii="仿宋_GB2312" w:hAnsi="仿宋_GB2312" w:eastAsia="仿宋_GB2312" w:cs="仿宋_GB2312"/>
          <w:b w:val="0"/>
          <w:bCs w:val="0"/>
          <w:i w:val="0"/>
          <w:iCs w:val="0"/>
          <w:caps w:val="0"/>
          <w:color w:val="auto"/>
          <w:spacing w:val="8"/>
          <w:sz w:val="32"/>
          <w:szCs w:val="32"/>
          <w:shd w:val="clear" w:color="auto" w:fill="FFFFFF"/>
          <w:lang w:eastAsia="zh-CN"/>
        </w:rPr>
        <w:t>每</w:t>
      </w:r>
      <w:r>
        <w:rPr>
          <w:rFonts w:hint="eastAsia" w:ascii="仿宋_GB2312" w:hAnsi="仿宋_GB2312" w:eastAsia="仿宋_GB2312" w:cs="仿宋_GB2312"/>
          <w:b w:val="0"/>
          <w:bCs w:val="0"/>
          <w:i w:val="0"/>
          <w:iCs w:val="0"/>
          <w:caps w:val="0"/>
          <w:color w:val="auto"/>
          <w:spacing w:val="8"/>
          <w:sz w:val="32"/>
          <w:szCs w:val="32"/>
          <w:shd w:val="clear" w:color="auto" w:fill="FFFFFF"/>
        </w:rPr>
        <w:t>次活动招募辖区市民20人来到</w:t>
      </w:r>
      <w:r>
        <w:rPr>
          <w:rFonts w:hint="eastAsia" w:ascii="仿宋_GB2312" w:hAnsi="仿宋_GB2312" w:eastAsia="仿宋_GB2312" w:cs="仿宋_GB2312"/>
          <w:b w:val="0"/>
          <w:bCs w:val="0"/>
          <w:i w:val="0"/>
          <w:iCs w:val="0"/>
          <w:caps w:val="0"/>
          <w:color w:val="auto"/>
          <w:spacing w:val="8"/>
          <w:sz w:val="32"/>
          <w:szCs w:val="32"/>
          <w:shd w:val="clear" w:color="auto" w:fill="FFFFFF"/>
          <w:lang w:eastAsia="zh-CN"/>
        </w:rPr>
        <w:t>我局</w:t>
      </w:r>
      <w:r>
        <w:rPr>
          <w:rFonts w:hint="eastAsia" w:ascii="仿宋_GB2312" w:hAnsi="仿宋_GB2312" w:eastAsia="仿宋_GB2312" w:cs="仿宋_GB2312"/>
          <w:b w:val="0"/>
          <w:bCs w:val="0"/>
          <w:i w:val="0"/>
          <w:iCs w:val="0"/>
          <w:caps w:val="0"/>
          <w:color w:val="auto"/>
          <w:spacing w:val="8"/>
          <w:sz w:val="32"/>
          <w:szCs w:val="32"/>
          <w:shd w:val="clear" w:color="auto" w:fill="FFFFFF"/>
        </w:rPr>
        <w:t>中心，亲身体验办事流程，直观感受龙亭区“放管服”改革、优化营商环境的显著成效。</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欢迎广大党员干部群众对巡察整改落实情况进行监督。如有意见和建议。请及时向我们反映。联系方式：电话0371</w:t>
      </w:r>
      <w:r>
        <w:rPr>
          <w:rFonts w:hint="eastAsia" w:ascii="仿宋_GB2312" w:hAnsi="仿宋_GB2312" w:eastAsia="仿宋_GB2312" w:cs="仿宋_GB2312"/>
          <w:b w:val="0"/>
          <w:bCs w:val="0"/>
          <w:sz w:val="32"/>
          <w:szCs w:val="32"/>
          <w:lang w:val="en-US" w:eastAsia="zh-CN"/>
        </w:rPr>
        <w:t>-</w:t>
      </w:r>
      <w:r>
        <w:rPr>
          <w:rFonts w:hint="eastAsia" w:ascii="仿宋_GB2312" w:hAnsi="仿宋_GB2312" w:eastAsia="仿宋_GB2312" w:cs="仿宋_GB2312"/>
          <w:b w:val="0"/>
          <w:bCs w:val="0"/>
          <w:sz w:val="32"/>
          <w:szCs w:val="32"/>
        </w:rPr>
        <w:t>22786881</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电子信箱ltqdsjj@163.com。</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right"/>
        <w:textAlignment w:val="auto"/>
        <w:rPr>
          <w:rFonts w:hint="eastAsia" w:ascii="仿宋_GB2312" w:hAnsi="仿宋_GB2312" w:eastAsia="仿宋_GB2312" w:cs="仿宋_GB2312"/>
          <w:b w:val="0"/>
          <w:bCs w:val="0"/>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right"/>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中共开封市龙亭区</w:t>
      </w:r>
      <w:r>
        <w:rPr>
          <w:rFonts w:hint="eastAsia" w:ascii="仿宋_GB2312" w:hAnsi="仿宋_GB2312" w:eastAsia="仿宋_GB2312" w:cs="仿宋_GB2312"/>
          <w:b w:val="0"/>
          <w:bCs w:val="0"/>
          <w:sz w:val="32"/>
          <w:szCs w:val="32"/>
          <w:lang w:eastAsia="zh-CN"/>
        </w:rPr>
        <w:t>政务服务和大数据管理局党组</w:t>
      </w:r>
      <w:r>
        <w:rPr>
          <w:rFonts w:hint="eastAsia" w:ascii="仿宋_GB2312" w:hAnsi="仿宋_GB2312" w:eastAsia="仿宋_GB2312" w:cs="仿宋_GB2312"/>
          <w:b w:val="0"/>
          <w:bCs w:val="0"/>
          <w:sz w:val="32"/>
          <w:szCs w:val="32"/>
        </w:rPr>
        <w:t xml:space="preserve"> </w:t>
      </w:r>
    </w:p>
    <w:p>
      <w:pPr>
        <w:keepNext w:val="0"/>
        <w:keepLines w:val="0"/>
        <w:pageBreakBefore w:val="0"/>
        <w:widowControl w:val="0"/>
        <w:kinsoku/>
        <w:wordWrap/>
        <w:overflowPunct/>
        <w:topLinePunct w:val="0"/>
        <w:autoSpaceDE/>
        <w:autoSpaceDN/>
        <w:bidi w:val="0"/>
        <w:snapToGrid/>
        <w:spacing w:line="580" w:lineRule="exact"/>
        <w:jc w:val="center"/>
        <w:textAlignment w:val="auto"/>
        <w:rPr>
          <w:b w:val="0"/>
          <w:bCs w:val="0"/>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月1</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8894C57"/>
    <w:multiLevelType w:val="singleLevel"/>
    <w:tmpl w:val="C8894C57"/>
    <w:lvl w:ilvl="0" w:tentative="0">
      <w:start w:val="2"/>
      <w:numFmt w:val="chineseCounting"/>
      <w:suff w:val="nothing"/>
      <w:lvlText w:val="%1、"/>
      <w:lvlJc w:val="left"/>
      <w:rPr>
        <w:rFonts w:hint="eastAsia"/>
      </w:rPr>
    </w:lvl>
  </w:abstractNum>
  <w:abstractNum w:abstractNumId="1">
    <w:nsid w:val="6B5120F9"/>
    <w:multiLevelType w:val="singleLevel"/>
    <w:tmpl w:val="6B5120F9"/>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IyNjkzYjk1ZDk5ODdhNmJjY2ZjMzA5YTg1YjIyYWMifQ=="/>
  </w:docVars>
  <w:rsids>
    <w:rsidRoot w:val="76174E5F"/>
    <w:rsid w:val="053223F9"/>
    <w:rsid w:val="070501E1"/>
    <w:rsid w:val="0CDF1A43"/>
    <w:rsid w:val="0D8B6C53"/>
    <w:rsid w:val="0EBC2D2D"/>
    <w:rsid w:val="19FD5F2B"/>
    <w:rsid w:val="26391BE4"/>
    <w:rsid w:val="2A7A4FA0"/>
    <w:rsid w:val="30224D9D"/>
    <w:rsid w:val="38895CEE"/>
    <w:rsid w:val="41A20F09"/>
    <w:rsid w:val="43697B1B"/>
    <w:rsid w:val="45CA5863"/>
    <w:rsid w:val="544B5532"/>
    <w:rsid w:val="56002B1B"/>
    <w:rsid w:val="608A5EC3"/>
    <w:rsid w:val="685855C1"/>
    <w:rsid w:val="7121017E"/>
    <w:rsid w:val="76174E5F"/>
    <w:rsid w:val="7B1A11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next w:val="1"/>
    <w:unhideWhenUsed/>
    <w:qFormat/>
    <w:uiPriority w:val="99"/>
    <w:pPr>
      <w:spacing w:after="120" w:afterLines="0" w:afterAutospacing="0"/>
    </w:pPr>
  </w:style>
  <w:style w:type="character" w:styleId="5">
    <w:name w:val="Strong"/>
    <w:basedOn w:val="4"/>
    <w:qFormat/>
    <w:uiPriority w:val="0"/>
    <w:rPr>
      <w:b/>
    </w:rPr>
  </w:style>
  <w:style w:type="paragraph" w:customStyle="1" w:styleId="6">
    <w:name w:val="正文文本首行缩进 21"/>
    <w:basedOn w:val="7"/>
    <w:qFormat/>
    <w:uiPriority w:val="0"/>
    <w:pPr>
      <w:ind w:firstLine="420" w:firstLineChars="200"/>
    </w:pPr>
  </w:style>
  <w:style w:type="paragraph" w:customStyle="1" w:styleId="7">
    <w:name w:val="正文文本缩进1"/>
    <w:basedOn w:val="1"/>
    <w:qFormat/>
    <w:uiPriority w:val="0"/>
    <w:pPr>
      <w:spacing w:after="120"/>
      <w:ind w:left="420" w:left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2946</Words>
  <Characters>3064</Characters>
  <Lines>0</Lines>
  <Paragraphs>0</Paragraphs>
  <TotalTime>2</TotalTime>
  <ScaleCrop>false</ScaleCrop>
  <LinksUpToDate>false</LinksUpToDate>
  <CharactersWithSpaces>3076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2023-04-18T03:55:00Z</dcterms:created>
  <dc:creator>Administrator</dc:creator>
  <cp:lastModifiedBy>Lenovo</cp:lastModifiedBy>
  <dcterms:modified xsi:type="dcterms:W3CDTF">2023-05-10T03:31:56Z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ED15E74D86E44653914DC4D27B81132A_11</vt:lpwstr>
  </property>
</Properties>
</file>